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Ilkbahar Alper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20" w:lineRule="auto"/>
        <w:rPr>
          <w:sz w:val="20"/>
          <w:szCs w:val="20"/>
          <w:color w:val="auto"/>
        </w:rPr>
      </w:pPr>
      <w:r>
        <w:rPr>
          <w:rFonts w:ascii="Times New Roman" w:cs="Times New Roman" w:eastAsia="Times New Roman" w:hAnsi="Times New Roman"/>
          <w:sz w:val="17"/>
          <w:szCs w:val="17"/>
          <w:color w:val="0000FF"/>
        </w:rPr>
        <w:t>C/O SANDISK CORPORATION 951 SANDISK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Sandisk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EVP, 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939"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8"/>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MILPITAS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95035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jc w:val="right"/>
              <w:ind w:right="492"/>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3540" w:type="dxa"/>
            <w:vAlign w:val="bottom"/>
            <w:gridSpan w:val="8"/>
          </w:tcPr>
          <w:p>
            <w:pPr>
              <w:jc w:val="right"/>
              <w:ind w:right="292"/>
              <w:spacing w:after="0"/>
              <w:rPr>
                <w:sz w:val="20"/>
                <w:szCs w:val="20"/>
                <w:color w:val="auto"/>
              </w:rPr>
            </w:pPr>
            <w:r>
              <w:rPr>
                <w:rFonts w:ascii="Arial" w:cs="Arial" w:eastAsia="Arial" w:hAnsi="Arial"/>
                <w:sz w:val="12"/>
                <w:szCs w:val="12"/>
                <w:b w:val="1"/>
                <w:bCs w:val="1"/>
                <w:color w:val="auto"/>
              </w:rPr>
              <w:t>4. Securities Acquired (A) or Disposed   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(D) (Instr. 3, 4 and 5)</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4"/>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999</w:t>
            </w: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260" w:type="dxa"/>
            <w:vAlign w:val="bottom"/>
            <w:tcBorders>
              <w:bottom w:val="single" w:sz="8" w:color="2C2C2C"/>
            </w:tcBorders>
            <w:gridSpan w:val="4"/>
          </w:tcPr>
          <w:p>
            <w:pPr>
              <w:jc w:val="center"/>
              <w:ind w:left="7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1,755.3132</w:t>
            </w:r>
            <w:r>
              <w:rPr>
                <w:rFonts w:ascii="Times New Roman" w:cs="Times New Roman" w:eastAsia="Times New Roman" w:hAnsi="Times New Roman"/>
                <w:sz w:val="22"/>
                <w:szCs w:val="22"/>
                <w:color w:val="008000"/>
                <w:w w:val="96"/>
                <w:vertAlign w:val="superscript"/>
              </w:rPr>
              <w:t>(1)</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7"/>
                <w:szCs w:val="17"/>
                <w:color w:val="0000FF"/>
                <w:w w:val="98"/>
              </w:rPr>
              <w:t>53,678</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401</w:t>
            </w: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1,757</w:t>
            </w:r>
            <w:r>
              <w:rPr>
                <w:rFonts w:ascii="Times New Roman" w:cs="Times New Roman" w:eastAsia="Times New Roman" w:hAnsi="Times New Roman"/>
                <w:sz w:val="22"/>
                <w:szCs w:val="22"/>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7"/>
                <w:szCs w:val="17"/>
                <w:color w:val="0000FF"/>
                <w:w w:val="98"/>
              </w:rPr>
              <w:t>53,277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600</w:t>
            </w: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260" w:type="dxa"/>
            <w:vAlign w:val="bottom"/>
            <w:tcBorders>
              <w:bottom w:val="single" w:sz="8" w:color="2C2C2C"/>
            </w:tcBorders>
            <w:gridSpan w:val="4"/>
          </w:tcPr>
          <w:p>
            <w:pPr>
              <w:jc w:val="center"/>
              <w:ind w:left="7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1,758.3967</w:t>
            </w:r>
            <w:r>
              <w:rPr>
                <w:rFonts w:ascii="Times New Roman" w:cs="Times New Roman" w:eastAsia="Times New Roman" w:hAnsi="Times New Roman"/>
                <w:sz w:val="22"/>
                <w:szCs w:val="22"/>
                <w:color w:val="008000"/>
                <w:w w:val="96"/>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7"/>
                <w:szCs w:val="17"/>
                <w:color w:val="0000FF"/>
                <w:w w:val="98"/>
              </w:rPr>
              <w:t>52,677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2,694</w:t>
            </w:r>
            <w:r>
              <w:rPr>
                <w:rFonts w:ascii="Times New Roman" w:cs="Times New Roman" w:eastAsia="Times New Roman" w:hAnsi="Times New Roman"/>
                <w:sz w:val="22"/>
                <w:szCs w:val="22"/>
                <w:color w:val="008000"/>
                <w:vertAlign w:val="superscript"/>
              </w:rPr>
              <w:t>(4)</w:t>
            </w: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7"/>
                <w:szCs w:val="17"/>
                <w:color w:val="0000FF"/>
                <w:w w:val="98"/>
              </w:rPr>
              <w:t>49,983</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jc w:val="right"/>
              <w:ind w:right="1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$1754.8000 to a high of $1755.6800.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$1757.0000 to a high of $1757.0850.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$1758.0200 to a high of $1758.8850.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gift of common stock to a charitable donor advised fund.</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/s/ Van Huynh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Alper Ilkbahar</w:t>
            </w:r>
          </w:p>
        </w:tc>
        <w:tc>
          <w:tcPr>
            <w:tcW w:w="2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00" w:type="dxa"/>
            <w:vAlign w:val="bottom"/>
            <w:tcBorders>
              <w:bottom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9630" TargetMode="External"/><Relationship Id="rId14" Type="http://schemas.openxmlformats.org/officeDocument/2006/relationships/hyperlink" Target="http://www.sec.gov/cgi-bin/browse-edgar?action=getcompany&amp;CIK=0002023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2026-06-02T16:44:40Z</dcterms:created>
  <dcterms:modified xsi:type="dcterms:W3CDTF">2026-06-02T16:44:40Z</dcterms:modified>
</cp:coreProperties>
</file>