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Shek Bernard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SANDISK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 SANDISK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MILPITAS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95035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Sandisk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SNDK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 &amp; Secty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49"/>
        <w:gridCol w:w="916"/>
        <w:gridCol w:w="785"/>
        <w:gridCol w:w="608"/>
        <w:gridCol w:w="348"/>
        <w:gridCol w:w="794"/>
        <w:gridCol w:w="445"/>
        <w:gridCol w:w="984"/>
        <w:gridCol w:w="1154"/>
        <w:gridCol w:w="993"/>
        <w:gridCol w:w="92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4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4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4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600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1,162.16</w:t>
            </w:r>
          </w:p>
        </w:tc>
        <w:tc>
          <w:tcPr>
            <w:tcW w:w="11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30,915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in this Form 4 were effected pursuant to a Rule 10b5-1 trading plan adopted by the Reporting Person on March 4,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Van Huynh Attorney-in-Fact For: Bernard Shek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60144" TargetMode="External"/><Relationship Id="rId5" Type="http://schemas.openxmlformats.org/officeDocument/2006/relationships/hyperlink" Target="http://www.sec.gov/cgi-bin/browse-edgar?action=getcompany&amp;CIK=000202355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595</Words>
  <Characters>3211</Characters>
  <CharactersWithSpaces>3738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